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16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Дьяченко Никиты Андреевича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Style w:val="cat-UserDefinedgrp-29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40000</w:t>
      </w:r>
      <w:r>
        <w:rPr>
          <w:rFonts w:ascii="Times New Roman" w:eastAsia="Times New Roman" w:hAnsi="Times New Roman" w:cs="Times New Roman"/>
        </w:rPr>
        <w:t xml:space="preserve">344751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информацией </w:t>
      </w:r>
      <w:r>
        <w:rPr>
          <w:rFonts w:ascii="Times New Roman" w:eastAsia="Times New Roman" w:hAnsi="Times New Roman" w:cs="Times New Roman"/>
        </w:rPr>
        <w:t>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карточкой </w:t>
      </w:r>
      <w:r>
        <w:rPr>
          <w:rFonts w:ascii="Times New Roman" w:eastAsia="Times New Roman" w:hAnsi="Times New Roman" w:cs="Times New Roman"/>
        </w:rPr>
        <w:t>операции с водительским удостоверением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Дьяченко Никиты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шести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0412365400285010942520116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30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7">
    <w:name w:val="cat-UserDefined grp-28 rplc-7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30rplc-38">
    <w:name w:val="cat-UserDefined grp-30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